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ED04CF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B90948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</w:t>
            </w:r>
            <w:proofErr w:type="spellStart"/>
            <w:r w:rsidRPr="006D3A29">
              <w:rPr>
                <w:rFonts w:ascii="Arial" w:hAnsi="Arial" w:cs="Arial"/>
                <w:b/>
                <w:bCs/>
                <w:lang w:val="it-IT"/>
              </w:rPr>
              <w:t>s.m.i.</w:t>
            </w:r>
            <w:proofErr w:type="spell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>(aggiornato al DM 2 Marzo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04F2B14" w14:textId="77777777" w:rsidR="00CA678E" w:rsidRDefault="00CA678E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ED04CF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ED04CF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44265615" w:rsid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2341" w:rsidRPr="00ED04CF" w14:paraId="27653399" w14:textId="77777777" w:rsidTr="00252341">
        <w:tc>
          <w:tcPr>
            <w:tcW w:w="9778" w:type="dxa"/>
            <w:hideMark/>
          </w:tcPr>
          <w:p w14:paraId="203029C5" w14:textId="77777777" w:rsidR="00252341" w:rsidRDefault="0025234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252341" w:rsidRPr="00ED04CF" w14:paraId="299CD5E9" w14:textId="77777777">
              <w:tc>
                <w:tcPr>
                  <w:tcW w:w="9410" w:type="dxa"/>
                  <w:hideMark/>
                </w:tcPr>
                <w:p w14:paraId="72BF2289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]='piva']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</w:t>
                  </w:r>
                </w:p>
              </w:tc>
            </w:tr>
            <w:tr w:rsidR="00252341" w:rsidRPr="00ED04CF" w14:paraId="705AF5B8" w14:textId="77777777">
              <w:tc>
                <w:tcPr>
                  <w:tcW w:w="9410" w:type="dxa"/>
                  <w:hideMark/>
                </w:tcPr>
                <w:p w14:paraId="00C7141B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]='giuridica']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della ditta/società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C.F.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con sede in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–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([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])</w:t>
                  </w:r>
                </w:p>
              </w:tc>
            </w:tr>
          </w:tbl>
          <w:p w14:paraId="6C919099" w14:textId="77777777" w:rsidR="00252341" w:rsidRPr="00252341" w:rsidRDefault="0025234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43A24951" w14:textId="77777777" w:rsidR="00252341" w:rsidRPr="00A54E2C" w:rsidRDefault="00252341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ED04CF" w14:paraId="4859FF52" w14:textId="77777777" w:rsidTr="00290BB0">
        <w:tc>
          <w:tcPr>
            <w:tcW w:w="9778" w:type="dxa"/>
          </w:tcPr>
          <w:p w14:paraId="717D7106" w14:textId="794951DA" w:rsidR="00A54E2C" w:rsidRPr="003F5BD0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465D615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01D2DAD8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12243A6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6A89ED1A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75FB1075" w14:textId="77777777" w:rsidR="00E77E8D" w:rsidRDefault="00D33104" w:rsidP="00E77E8D">
      <w:pPr>
        <w:rPr>
          <w:rFonts w:ascii="Arial" w:hAnsi="Arial" w:cs="Arial"/>
          <w:sz w:val="18"/>
          <w:szCs w:val="18"/>
          <w:lang w:val="it-IT" w:eastAsia="en-US"/>
        </w:rPr>
      </w:pPr>
      <w:r w:rsidRPr="00E77E8D">
        <w:rPr>
          <w:rFonts w:ascii="Arial" w:hAnsi="Arial" w:cs="Arial"/>
          <w:sz w:val="18"/>
          <w:szCs w:val="18"/>
          <w:lang w:val="it-IT"/>
        </w:rPr>
        <w:t xml:space="preserve">presso l’unità immobiliare sita </w:t>
      </w:r>
      <w:r w:rsidR="00E77E8D" w:rsidRPr="00E77E8D">
        <w:rPr>
          <w:rFonts w:ascii="Arial" w:hAnsi="Arial" w:cs="Arial"/>
          <w:sz w:val="18"/>
          <w:szCs w:val="18"/>
          <w:lang w:val="it-IT"/>
        </w:rPr>
        <w:t>in [</w:t>
      </w:r>
      <w:proofErr w:type="spellStart"/>
      <w:r w:rsidR="00E77E8D" w:rsidRPr="00E77E8D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E77E8D" w:rsidRPr="00E77E8D">
        <w:rPr>
          <w:rFonts w:ascii="Arial" w:hAnsi="Arial" w:cs="Arial"/>
          <w:sz w:val="18"/>
          <w:szCs w:val="18"/>
          <w:lang w:val="it-IT"/>
        </w:rPr>
        <w:t>]:</w:t>
      </w:r>
    </w:p>
    <w:p w14:paraId="3BB35BB4" w14:textId="77777777" w:rsidR="00E77E8D" w:rsidRPr="00E77E8D" w:rsidRDefault="00E77E8D" w:rsidP="00E77E8D">
      <w:pPr>
        <w:widowControl/>
        <w:numPr>
          <w:ilvl w:val="0"/>
          <w:numId w:val="15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</w:t>
      </w:r>
    </w:p>
    <w:p w14:paraId="6AD1E45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11313F7D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77E8D" w14:paraId="3252A2F1" w14:textId="77777777" w:rsidTr="00E77E8D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D514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4442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1FF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AFAB7D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1F8574DE" w14:textId="77777777" w:rsidTr="00E77E8D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1CAC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DC662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06204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3CE0B6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E13ED1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533AD6C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E77E8D" w14:paraId="766F1B6D" w14:textId="77777777" w:rsidTr="00E77E8D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C56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0D61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2A8A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D805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D04EE2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78621E82" w14:textId="77777777" w:rsidTr="00E77E8D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7C1105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C05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7790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4D01D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10CBAB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73954B0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1D72E0B2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B22D0B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Avente destinazione d’uso: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</w:t>
      </w:r>
    </w:p>
    <w:p w14:paraId="66BC80AC" w14:textId="77777777" w:rsidR="00ED161E" w:rsidRDefault="00ED161E" w:rsidP="00ED161E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6CE44332" w14:textId="15227A5A" w:rsidR="00ED161E" w:rsidRPr="005B3A01" w:rsidRDefault="00ED161E" w:rsidP="00ED161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5B3A01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Pr="005B3A01">
        <w:rPr>
          <w:rFonts w:ascii="Arial" w:hAnsi="Arial" w:cs="Arial"/>
          <w:sz w:val="18"/>
          <w:szCs w:val="18"/>
          <w:lang w:val="it-IT"/>
        </w:rPr>
        <w:t>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79B77985" w14:textId="77777777" w:rsidTr="00F057FA">
        <w:tc>
          <w:tcPr>
            <w:tcW w:w="9778" w:type="dxa"/>
          </w:tcPr>
          <w:p w14:paraId="0BF2B932" w14:textId="77777777" w:rsidR="00ED161E" w:rsidRPr="005B3A01" w:rsidRDefault="00ED161E" w:rsidP="00F057F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]='1']avere titolarità esclusiva all'esecuzione dell'intervento.</w:t>
            </w:r>
          </w:p>
        </w:tc>
      </w:tr>
      <w:tr w:rsidR="00ED161E" w:rsidRPr="00ED04CF" w14:paraId="2347743D" w14:textId="77777777" w:rsidTr="00F057FA">
        <w:tc>
          <w:tcPr>
            <w:tcW w:w="9778" w:type="dxa"/>
          </w:tcPr>
          <w:p w14:paraId="0EBDD2AA" w14:textId="77777777" w:rsidR="00ED161E" w:rsidRPr="005B3A01" w:rsidRDefault="00ED161E" w:rsidP="00F057F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07430FA5" w14:textId="77777777" w:rsidR="00ED161E" w:rsidRDefault="00ED161E" w:rsidP="00ED161E">
      <w:pPr>
        <w:rPr>
          <w:rFonts w:ascii="Arial" w:hAnsi="Arial" w:cs="Arial"/>
          <w:b/>
          <w:sz w:val="18"/>
          <w:szCs w:val="18"/>
          <w:lang w:val="it-IT"/>
        </w:rPr>
      </w:pPr>
    </w:p>
    <w:p w14:paraId="32BBEB5C" w14:textId="77777777" w:rsidR="00ED161E" w:rsidRDefault="00ED161E" w:rsidP="00ED161E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>e in data [</w:t>
      </w:r>
      <w:proofErr w:type="spellStart"/>
      <w:r w:rsidRPr="00D33104">
        <w:rPr>
          <w:rFonts w:ascii="Arial" w:hAnsi="Arial" w:cs="Arial"/>
          <w:b/>
          <w:sz w:val="18"/>
          <w:szCs w:val="18"/>
          <w:lang w:val="it-IT"/>
        </w:rPr>
        <w:t>data_inizio_interventi</w:t>
      </w:r>
      <w:proofErr w:type="spellEnd"/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4B0423EC" w14:textId="77777777" w:rsidTr="00F057FA">
        <w:tc>
          <w:tcPr>
            <w:tcW w:w="9778" w:type="dxa"/>
          </w:tcPr>
          <w:p w14:paraId="6E40E7A9" w14:textId="77777777" w:rsidR="00ED161E" w:rsidRDefault="00ED161E" w:rsidP="00F057FA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</w:t>
            </w:r>
            <w:proofErr w:type="spellEnd"/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=no]</w:t>
            </w:r>
          </w:p>
        </w:tc>
      </w:tr>
    </w:tbl>
    <w:p w14:paraId="78E2F35E" w14:textId="77777777" w:rsidR="00ED161E" w:rsidRDefault="00ED161E" w:rsidP="00ED161E">
      <w:pPr>
        <w:rPr>
          <w:lang w:val="it-IT"/>
        </w:rPr>
      </w:pPr>
    </w:p>
    <w:p w14:paraId="359F46CC" w14:textId="77777777" w:rsidR="00ED161E" w:rsidRPr="00A6005C" w:rsidRDefault="00ED161E" w:rsidP="00ED161E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4275A" w14:paraId="57418930" w14:textId="77777777" w:rsidTr="00F057FA">
        <w:tc>
          <w:tcPr>
            <w:tcW w:w="9778" w:type="dxa"/>
          </w:tcPr>
          <w:p w14:paraId="3A6BDE72" w14:textId="77777777" w:rsidR="00ED161E" w:rsidRPr="00C4275A" w:rsidRDefault="00ED161E" w:rsidP="00F057F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tipo_opere_opt.val;block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838E51C" w14:textId="77777777" w:rsidR="00ED161E" w:rsidRPr="007748D5" w:rsidRDefault="00ED161E" w:rsidP="00ED161E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09BA2184" w14:textId="77777777" w:rsidR="00ED161E" w:rsidRPr="00A6005C" w:rsidRDefault="00ED161E" w:rsidP="00ED161E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sopra descritti sono riconducibili alle casistiche sotto riportate:</w:t>
      </w:r>
    </w:p>
    <w:p w14:paraId="44A47D39" w14:textId="77777777" w:rsidR="00ED161E" w:rsidRPr="00C4275A" w:rsidRDefault="00ED161E" w:rsidP="00ED161E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398CCA3F" w14:textId="77777777" w:rsidTr="00F057FA">
        <w:tc>
          <w:tcPr>
            <w:tcW w:w="9778" w:type="dxa"/>
          </w:tcPr>
          <w:p w14:paraId="7564DD5A" w14:textId="77777777" w:rsidR="00ED161E" w:rsidRPr="00C4275A" w:rsidRDefault="00ED161E" w:rsidP="00F057F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Tab. A, Sezione II Edilizia - attività 1)</w:t>
            </w:r>
          </w:p>
        </w:tc>
      </w:tr>
      <w:tr w:rsidR="00ED161E" w:rsidRPr="00C4275A" w14:paraId="140799FE" w14:textId="77777777" w:rsidTr="00F057FA">
        <w:tc>
          <w:tcPr>
            <w:tcW w:w="9778" w:type="dxa"/>
          </w:tcPr>
          <w:p w14:paraId="693792CC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manutenzione_ordinaria_opt.val;block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035E8514" w14:textId="77777777" w:rsidTr="00F057FA">
        <w:tc>
          <w:tcPr>
            <w:tcW w:w="9778" w:type="dxa"/>
          </w:tcPr>
          <w:p w14:paraId="02AB5EBF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manutenzione_ordinaria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C2412E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4CA26D41" w14:textId="77777777" w:rsidTr="00F057FA">
        <w:tc>
          <w:tcPr>
            <w:tcW w:w="9778" w:type="dxa"/>
          </w:tcPr>
          <w:p w14:paraId="6EF51E90" w14:textId="77777777" w:rsidR="00ED161E" w:rsidRPr="00C4275A" w:rsidRDefault="00ED161E" w:rsidP="00F057F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comma 1, lett. a-bis)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Pompe di calore di potenza termica utile nominale inferiore a 12 kW: 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>Interventi di installazione delle pompe di calore aria-aria di potenza termica utile nominale inferiore a 12 kW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II Edilizia-attività 2)</w:t>
            </w:r>
          </w:p>
        </w:tc>
      </w:tr>
      <w:tr w:rsidR="00ED161E" w:rsidRPr="00C4275A" w14:paraId="33ACBB9C" w14:textId="77777777" w:rsidTr="00F057FA">
        <w:tc>
          <w:tcPr>
            <w:tcW w:w="9778" w:type="dxa"/>
          </w:tcPr>
          <w:p w14:paraId="0E4622AB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7429288E" w14:textId="77777777" w:rsidTr="00F057FA">
        <w:trPr>
          <w:trHeight w:val="162"/>
        </w:trPr>
        <w:tc>
          <w:tcPr>
            <w:tcW w:w="9778" w:type="dxa"/>
          </w:tcPr>
          <w:p w14:paraId="04A62013" w14:textId="77777777" w:rsidR="00ED161E" w:rsidRPr="00327A03" w:rsidRDefault="00ED161E" w:rsidP="00F057FA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pompe_calore_opt;block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A05BD8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3D68C706" w14:textId="77777777" w:rsidTr="00F057FA">
        <w:tc>
          <w:tcPr>
            <w:tcW w:w="9778" w:type="dxa"/>
          </w:tcPr>
          <w:p w14:paraId="7943E9AF" w14:textId="77777777" w:rsidR="00ED161E" w:rsidRPr="003F0049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ED161E" w:rsidRPr="00C4275A" w14:paraId="05F20286" w14:textId="77777777" w:rsidTr="00F057FA">
        <w:tc>
          <w:tcPr>
            <w:tcW w:w="9778" w:type="dxa"/>
          </w:tcPr>
          <w:p w14:paraId="77A8131C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2A67F057" w14:textId="77777777" w:rsidTr="00F057FA">
        <w:trPr>
          <w:trHeight w:val="162"/>
        </w:trPr>
        <w:tc>
          <w:tcPr>
            <w:tcW w:w="9778" w:type="dxa"/>
          </w:tcPr>
          <w:p w14:paraId="30579124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07C0069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13CBEB28" w14:textId="77777777" w:rsidTr="00F057FA">
        <w:tc>
          <w:tcPr>
            <w:tcW w:w="9778" w:type="dxa"/>
          </w:tcPr>
          <w:p w14:paraId="6028AEEF" w14:textId="77777777" w:rsidR="00ED161E" w:rsidRPr="00194251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Tab.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ED161E" w:rsidRPr="00C4275A" w14:paraId="251D5D0C" w14:textId="77777777" w:rsidTr="00F057FA">
        <w:tc>
          <w:tcPr>
            <w:tcW w:w="9778" w:type="dxa"/>
          </w:tcPr>
          <w:p w14:paraId="11091954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4B60E725" w14:textId="77777777" w:rsidTr="00F057FA">
        <w:trPr>
          <w:trHeight w:val="162"/>
        </w:trPr>
        <w:tc>
          <w:tcPr>
            <w:tcW w:w="9778" w:type="dxa"/>
          </w:tcPr>
          <w:p w14:paraId="72874B4E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barriere_architettoniche_opt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F90615D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DD70C79" w14:textId="77777777" w:rsidTr="00F057FA">
        <w:tc>
          <w:tcPr>
            <w:tcW w:w="9778" w:type="dxa"/>
          </w:tcPr>
          <w:p w14:paraId="40F40E58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ED161E" w:rsidRPr="00ED04CF" w14:paraId="09B2A19D" w14:textId="77777777" w:rsidTr="00F057FA">
        <w:tc>
          <w:tcPr>
            <w:tcW w:w="9778" w:type="dxa"/>
          </w:tcPr>
          <w:p w14:paraId="6E067B3C" w14:textId="77777777" w:rsidR="00ED161E" w:rsidRPr="00AD1C59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ricerca_sottosuolo_opt.val;block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ED161E" w:rsidRPr="00ED04CF" w14:paraId="760B625C" w14:textId="77777777" w:rsidTr="00F057FA">
        <w:trPr>
          <w:trHeight w:val="162"/>
        </w:trPr>
        <w:tc>
          <w:tcPr>
            <w:tcW w:w="9778" w:type="dxa"/>
          </w:tcPr>
          <w:p w14:paraId="24EEBE68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DC967AC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2EBE1B77" w14:textId="77777777" w:rsidTr="00F057FA">
        <w:tc>
          <w:tcPr>
            <w:tcW w:w="9778" w:type="dxa"/>
          </w:tcPr>
          <w:p w14:paraId="229AFBE4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silvo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-pastorali, compresi gli interventi su impianti idraulici agrari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ED161E" w:rsidRPr="00B0365E" w14:paraId="360DC274" w14:textId="77777777" w:rsidTr="00F057FA">
        <w:tc>
          <w:tcPr>
            <w:tcW w:w="9778" w:type="dxa"/>
          </w:tcPr>
          <w:p w14:paraId="4E308291" w14:textId="77777777" w:rsidR="00ED161E" w:rsidRPr="00B0365E" w:rsidRDefault="00ED161E" w:rsidP="00F057FA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ED161E" w:rsidRPr="00ED04CF" w14:paraId="46568E1E" w14:textId="77777777" w:rsidTr="00F057FA">
        <w:trPr>
          <w:trHeight w:val="162"/>
        </w:trPr>
        <w:tc>
          <w:tcPr>
            <w:tcW w:w="9778" w:type="dxa"/>
          </w:tcPr>
          <w:p w14:paraId="48E9A472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196F389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5350145" w14:textId="77777777" w:rsidTr="00F057FA">
        <w:tc>
          <w:tcPr>
            <w:tcW w:w="9778" w:type="dxa"/>
          </w:tcPr>
          <w:p w14:paraId="1709920F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ED161E" w:rsidRPr="002366A0" w14:paraId="3EAA55BA" w14:textId="77777777" w:rsidTr="00F057FA">
        <w:tc>
          <w:tcPr>
            <w:tcW w:w="9778" w:type="dxa"/>
          </w:tcPr>
          <w:p w14:paraId="3D7EA5C5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serre_opt.val;block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6209D4C4" w14:textId="77777777" w:rsidTr="00F057FA">
        <w:trPr>
          <w:trHeight w:val="162"/>
        </w:trPr>
        <w:tc>
          <w:tcPr>
            <w:tcW w:w="9778" w:type="dxa"/>
          </w:tcPr>
          <w:p w14:paraId="27A78E46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E344C07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172153A5" w14:textId="77777777" w:rsidTr="00F057FA">
        <w:tc>
          <w:tcPr>
            <w:tcW w:w="9778" w:type="dxa"/>
          </w:tcPr>
          <w:p w14:paraId="275586CE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tombati 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ED161E" w:rsidRPr="00ED04CF" w14:paraId="3A11D37A" w14:textId="77777777" w:rsidTr="00F057FA">
        <w:tc>
          <w:tcPr>
            <w:tcW w:w="9778" w:type="dxa"/>
          </w:tcPr>
          <w:p w14:paraId="7492AD5E" w14:textId="77777777" w:rsidR="00ED161E" w:rsidRPr="002366A0" w:rsidRDefault="00ED161E" w:rsidP="00F057FA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pavimentazione_opt.val;block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ED161E" w:rsidRPr="00ED04CF" w14:paraId="4375ED15" w14:textId="77777777" w:rsidTr="00F057FA">
        <w:trPr>
          <w:trHeight w:val="162"/>
        </w:trPr>
        <w:tc>
          <w:tcPr>
            <w:tcW w:w="9778" w:type="dxa"/>
          </w:tcPr>
          <w:p w14:paraId="58EAD18D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1E1516D2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26F04180" w14:textId="77777777" w:rsidTr="00F057FA">
        <w:tc>
          <w:tcPr>
            <w:tcW w:w="9778" w:type="dxa"/>
          </w:tcPr>
          <w:p w14:paraId="2A19481D" w14:textId="77777777" w:rsidR="00ED161E" w:rsidRPr="00B0365E" w:rsidRDefault="00ED161E" w:rsidP="00F057FA">
            <w:pPr>
              <w:autoSpaceDN w:val="0"/>
              <w:adjustRightInd w:val="0"/>
              <w:contextualSpacing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e-quater)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Pannelli solari, fotovoltaici, a servizio degli edifici o strutture esistenti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Edilizia-attività 28). </w:t>
            </w:r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 xml:space="preserve">Come da art 9 DL 17/2022 in modifica al c5 art 7bis </w:t>
            </w:r>
            <w:proofErr w:type="spellStart"/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>DLgv</w:t>
            </w:r>
            <w:proofErr w:type="spellEnd"/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 xml:space="preserve"> 28/2011.</w:t>
            </w:r>
            <w:r w:rsidRPr="00321F46">
              <w:rPr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 xml:space="preserve">Nel caso di immobile vincolato architettonicamente e di vincolo paesaggistico solo per art 136 comma 1 lettere b) e c) </w:t>
            </w:r>
            <w:proofErr w:type="spellStart"/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>DLgs</w:t>
            </w:r>
            <w:proofErr w:type="spellEnd"/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 xml:space="preserve"> 42/2004 è necessario ottenere preventivamente la relativa autorizzazione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ED161E" w:rsidRPr="00ED04CF" w14:paraId="25930E8D" w14:textId="77777777" w:rsidTr="00F057FA">
        <w:tc>
          <w:tcPr>
            <w:tcW w:w="9778" w:type="dxa"/>
          </w:tcPr>
          <w:p w14:paraId="6A0D917B" w14:textId="77777777" w:rsidR="00ED161E" w:rsidRPr="002366A0" w:rsidRDefault="00ED161E" w:rsidP="00F057FA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ED161E" w:rsidRPr="00ED04CF" w14:paraId="02536892" w14:textId="77777777" w:rsidTr="00F057FA">
        <w:trPr>
          <w:trHeight w:val="162"/>
        </w:trPr>
        <w:tc>
          <w:tcPr>
            <w:tcW w:w="9778" w:type="dxa"/>
          </w:tcPr>
          <w:p w14:paraId="15A1FC29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4DF5AF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F370BD0" w14:textId="77777777" w:rsidTr="00F057FA">
        <w:tc>
          <w:tcPr>
            <w:tcW w:w="9778" w:type="dxa"/>
          </w:tcPr>
          <w:p w14:paraId="17B0A859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–Edilizia-attività 29)</w:t>
            </w:r>
          </w:p>
        </w:tc>
      </w:tr>
      <w:tr w:rsidR="00ED161E" w:rsidRPr="002366A0" w14:paraId="2EA7444D" w14:textId="77777777" w:rsidTr="00F057FA">
        <w:tc>
          <w:tcPr>
            <w:tcW w:w="9778" w:type="dxa"/>
          </w:tcPr>
          <w:p w14:paraId="2DCD0E38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aree_ludiche_opt.val;block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681DA7F4" w14:textId="77777777" w:rsidTr="00F057FA">
        <w:trPr>
          <w:trHeight w:val="162"/>
        </w:trPr>
        <w:tc>
          <w:tcPr>
            <w:tcW w:w="9778" w:type="dxa"/>
          </w:tcPr>
          <w:p w14:paraId="61F3FC29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4C12D88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225A005A" w14:textId="77777777" w:rsidTr="00F057FA">
        <w:tc>
          <w:tcPr>
            <w:tcW w:w="9778" w:type="dxa"/>
          </w:tcPr>
          <w:p w14:paraId="11FC97D8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Tab. A, Sezione II – Edilizia- attività 16)</w:t>
            </w:r>
          </w:p>
        </w:tc>
      </w:tr>
      <w:tr w:rsidR="00ED161E" w:rsidRPr="002366A0" w14:paraId="46296290" w14:textId="77777777" w:rsidTr="00F057FA">
        <w:tc>
          <w:tcPr>
            <w:tcW w:w="9778" w:type="dxa"/>
          </w:tcPr>
          <w:p w14:paraId="71CC5016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ED161E" w:rsidRPr="00ED04CF" w14:paraId="560E02D6" w14:textId="77777777" w:rsidTr="00F057FA">
        <w:trPr>
          <w:trHeight w:val="162"/>
        </w:trPr>
        <w:tc>
          <w:tcPr>
            <w:tcW w:w="9778" w:type="dxa"/>
          </w:tcPr>
          <w:p w14:paraId="3CB710D8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28FB9CF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1FCFD310" w14:textId="77777777" w:rsidTr="00F057FA">
        <w:tc>
          <w:tcPr>
            <w:tcW w:w="9778" w:type="dxa"/>
          </w:tcPr>
          <w:p w14:paraId="0ED833E3" w14:textId="77777777" w:rsidR="00ED161E" w:rsidRPr="003015DD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015D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Edilizia Libera (D.P.R. n.380/2001, art. 3 comma 1, lett. b bis) (lettera introdotta dall'art. 33-bis, della legge n. 142 del 2022): </w:t>
            </w:r>
            <w:r w:rsidRPr="003015DD">
              <w:rPr>
                <w:rFonts w:ascii="Arial" w:hAnsi="Arial" w:cs="Arial"/>
                <w:sz w:val="18"/>
                <w:szCs w:val="18"/>
                <w:lang w:val="it-IT"/>
              </w:rPr>
              <w:t>Vetrate panoramiche amovibili - VEPA</w:t>
            </w:r>
          </w:p>
          <w:p w14:paraId="174B3E58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LE VEPA DEVONO:</w:t>
            </w:r>
          </w:p>
          <w:p w14:paraId="0FEF1C86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essere “amovibili” ossia non fisse, ma facilmente rimovibili, a titolo esemplificativo ma non esaustivo, realizzate con vetrate scorrevoli su binari, a “soffietto”, sganciabili, etc.;</w:t>
            </w:r>
          </w:p>
          <w:p w14:paraId="632608D5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essere “totalmente trasparenti” ossia senza l'utilizzo di vetri satinati o opachi e senza utilizzo di montanti metallici;</w:t>
            </w:r>
          </w:p>
          <w:p w14:paraId="452DD082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assolvere funzioni temporanee di protezione dagli agenti atmosferici, di miglioramento delle prestazioni acustiche ed energetiche, di riduzione delle dispersioni termiche, di parziale impermeabilizzazione dalle acque meteoriche</w:t>
            </w:r>
          </w:p>
          <w:p w14:paraId="09A4F21B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favorire una naturale micro-aerazione che consenta la circolazione di un costante flusso di arieggiamento a garanzia della salubrità dei vani interni domestici</w:t>
            </w:r>
          </w:p>
          <w:p w14:paraId="17E8B859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avere caratteristiche tecnico-costruttive e profilo estetico tali da ridurre al minimo l'impatto visivo e l'ingombro apparente e da non modificare le preesistenti linee architettoniche</w:t>
            </w:r>
          </w:p>
          <w:p w14:paraId="55F4ED32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in linea con eventuali prescrizioni dei Regolamenti condominiali</w:t>
            </w:r>
          </w:p>
          <w:p w14:paraId="303C8037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sz w:val="14"/>
                <w:szCs w:val="14"/>
                <w:lang w:val="it-IT"/>
              </w:rPr>
              <w:t>P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ossono essere installate in edifici ad uso residenziale su:</w:t>
            </w:r>
          </w:p>
          <w:p w14:paraId="1C0F8AC9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“logge” rientranti sul prospetto dell'edificio;</w:t>
            </w:r>
          </w:p>
          <w:p w14:paraId="1B4BFB77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“balconi” aggettanti sul prospetto dell'edificio;</w:t>
            </w:r>
          </w:p>
          <w:p w14:paraId="4CFAD1C8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“porticati” ad eccezione dei porticati gravati, in tutto o in parte, da diritti di uso pubblico o collocati nei fronti esterni dell’edificio prospicienti aree pubbliche.</w:t>
            </w:r>
          </w:p>
          <w:p w14:paraId="4D4EBF6B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Restano quindi escluse le installazioni su lastrici solari, terrazzi, pergole, gazebo e porticati gravati, in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tutto o in parte, da diritti di uso pubblico o collocati nei fronti esterni dell’edificio prospicienti aree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pubbliche.</w:t>
            </w:r>
          </w:p>
          <w:p w14:paraId="61125CF0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sz w:val="14"/>
                <w:szCs w:val="14"/>
                <w:lang w:val="it-IT"/>
              </w:rPr>
              <w:t>N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on possono:</w:t>
            </w:r>
          </w:p>
          <w:p w14:paraId="188440B3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 xml:space="preserve">• </w:t>
            </w: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configurare spazio stabilmente chiuso comportante variazione di volumetria e di superficie delle unità immobiliari/edifici (riferiti alle definizioni del R.E.T.);</w:t>
            </w:r>
          </w:p>
          <w:p w14:paraId="24B2E0E1" w14:textId="77777777" w:rsidR="008827CD" w:rsidRPr="00FD3197" w:rsidRDefault="008827CD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configurare mutamento destinazione d’uso dell’immobile, anche da superficie accessoria a superficie utile (deve essere mantenuto l’uso accessorio della loggia o balcone dove se ne prevede l'installazione).</w:t>
            </w:r>
          </w:p>
          <w:p w14:paraId="1D13E89F" w14:textId="7FE30F0C" w:rsidR="00ED161E" w:rsidRPr="00ED04CF" w:rsidRDefault="00ED04CF" w:rsidP="008827CD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04CF">
              <w:rPr>
                <w:rFonts w:ascii="Arial" w:hAnsi="Arial" w:cs="Arial"/>
                <w:sz w:val="14"/>
                <w:szCs w:val="14"/>
                <w:lang w:val="it-IT"/>
              </w:rPr>
              <w:t>L’installazione della VEPA in area paesaggisticamente vincolata è da ricondurre al punto B.3 dell'Allegato D al medesimo DPR ( “realizzazione, modifica o chiusura di balconi o terrazze” )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Pr="00ED04CF">
              <w:rPr>
                <w:rFonts w:ascii="Arial" w:hAnsi="Arial" w:cs="Arial"/>
                <w:sz w:val="14"/>
                <w:szCs w:val="14"/>
                <w:lang w:val="it-IT"/>
              </w:rPr>
              <w:t>e pertanto soggetta ad autorizzazione paesaggistica semplificata</w:t>
            </w:r>
          </w:p>
        </w:tc>
      </w:tr>
      <w:tr w:rsidR="00ED161E" w:rsidRPr="009A202C" w14:paraId="03886532" w14:textId="77777777" w:rsidTr="00F057FA">
        <w:tc>
          <w:tcPr>
            <w:tcW w:w="9778" w:type="dxa"/>
          </w:tcPr>
          <w:p w14:paraId="02E0C23E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vepa_opt.val;block</w:t>
            </w:r>
            <w:proofErr w:type="spellEnd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tbs:row</w:t>
            </w:r>
            <w:proofErr w:type="spellEnd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ED161E" w:rsidRPr="00ED04CF" w14:paraId="45890950" w14:textId="77777777" w:rsidTr="00F057FA">
        <w:tc>
          <w:tcPr>
            <w:tcW w:w="9778" w:type="dxa"/>
          </w:tcPr>
          <w:p w14:paraId="229EEA23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vepa_opt;block</w:t>
            </w:r>
            <w:proofErr w:type="spellEnd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3015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35370D07" w14:textId="77777777" w:rsidR="00ED161E" w:rsidRPr="008110BA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14:paraId="207454E3" w14:textId="77777777" w:rsidTr="00F057FA">
        <w:tc>
          <w:tcPr>
            <w:tcW w:w="9778" w:type="dxa"/>
          </w:tcPr>
          <w:p w14:paraId="1BFBA84D" w14:textId="77777777" w:rsidR="00ED161E" w:rsidRPr="0052068C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 (D.P.R. n. 380/2001, art. 3 comma 1, lett. e-sexies) (lettera aggiunta dall'art. 6, comma 1, del decreto-legge n. 39 del 2023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: </w:t>
            </w:r>
            <w:r w:rsidRPr="006C398B">
              <w:rPr>
                <w:rFonts w:ascii="Arial" w:hAnsi="Arial" w:cs="Arial"/>
                <w:sz w:val="18"/>
                <w:szCs w:val="18"/>
                <w:lang w:val="it-IT"/>
              </w:rPr>
              <w:t>Vasche di raccolta</w:t>
            </w:r>
          </w:p>
        </w:tc>
      </w:tr>
      <w:tr w:rsidR="00ED161E" w:rsidRPr="00ED04CF" w14:paraId="74DB30A4" w14:textId="77777777" w:rsidTr="00F057FA">
        <w:tc>
          <w:tcPr>
            <w:tcW w:w="9778" w:type="dxa"/>
          </w:tcPr>
          <w:p w14:paraId="29E943CF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vasche_raccolta_opt.val;block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ED161E" w:rsidRPr="00ED04CF" w14:paraId="6C7F94BF" w14:textId="77777777" w:rsidTr="00F057FA">
        <w:tc>
          <w:tcPr>
            <w:tcW w:w="9778" w:type="dxa"/>
          </w:tcPr>
          <w:p w14:paraId="17E5F89E" w14:textId="77777777" w:rsidR="00ED161E" w:rsidRPr="0052068C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vasche_raccolta_opt;block</w:t>
            </w:r>
            <w:proofErr w:type="spellEnd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520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757A4AEF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76A3E338" w14:textId="77777777" w:rsidTr="00F057FA">
        <w:tc>
          <w:tcPr>
            <w:tcW w:w="9778" w:type="dxa"/>
          </w:tcPr>
          <w:p w14:paraId="6F99B439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A963F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(DM 20 ottobre 2022 del Ministro della Transizione Ecologica) Infrastrutture appartenenti alla rete elettrica di distribuzione non facenti parte della rete elettrica nazionale (NON per le opere in capo a TERNA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): </w:t>
            </w:r>
            <w:r w:rsidRPr="00A963FA">
              <w:rPr>
                <w:rFonts w:ascii="Arial" w:hAnsi="Arial" w:cs="Arial"/>
                <w:sz w:val="18"/>
                <w:szCs w:val="18"/>
                <w:lang w:val="it-IT"/>
              </w:rPr>
              <w:t>Infrastrutture rete elettrica</w:t>
            </w:r>
          </w:p>
        </w:tc>
      </w:tr>
      <w:tr w:rsidR="00ED161E" w14:paraId="1DDE7FD2" w14:textId="77777777" w:rsidTr="00F057FA">
        <w:tc>
          <w:tcPr>
            <w:tcW w:w="9778" w:type="dxa"/>
          </w:tcPr>
          <w:p w14:paraId="0850C692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rete_elettrica_opt.val;block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ED161E" w:rsidRPr="00ED04CF" w14:paraId="02799674" w14:textId="77777777" w:rsidTr="00F057FA">
        <w:tc>
          <w:tcPr>
            <w:tcW w:w="9778" w:type="dxa"/>
          </w:tcPr>
          <w:p w14:paraId="7BDA5847" w14:textId="77777777" w:rsidR="00ED161E" w:rsidRPr="00A963FA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rete_elettrica_opt;block</w:t>
            </w:r>
            <w:proofErr w:type="spell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0D8DA0F5" w14:textId="77777777" w:rsidR="00ED161E" w:rsidRPr="008110BA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65D0D178" w14:textId="77777777" w:rsidTr="00F057FA">
        <w:tc>
          <w:tcPr>
            <w:tcW w:w="9778" w:type="dxa"/>
          </w:tcPr>
          <w:p w14:paraId="0D648F0E" w14:textId="77777777" w:rsidR="00ED161E" w:rsidRPr="005430AF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(LR 16/08 art 5 bis comma 1 bis)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Fasce terrazzate con muri a secco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:</w:t>
            </w:r>
            <w:r w:rsidRPr="005430AF">
              <w:rPr>
                <w:rFonts w:ascii="Arial" w:hAnsi="Arial" w:cs="Arial"/>
                <w:sz w:val="18"/>
                <w:szCs w:val="18"/>
                <w:lang w:val="it-IT"/>
              </w:rPr>
              <w:t xml:space="preserve"> Promozione agricoltura, tutela del paesaggio</w:t>
            </w:r>
          </w:p>
        </w:tc>
      </w:tr>
      <w:tr w:rsidR="00ED161E" w:rsidRPr="00ED04CF" w14:paraId="145520CF" w14:textId="77777777" w:rsidTr="00F057FA">
        <w:tc>
          <w:tcPr>
            <w:tcW w:w="9778" w:type="dxa"/>
          </w:tcPr>
          <w:p w14:paraId="1700CA14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promozione_agricoltura_opt.val;block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ED161E" w:rsidRPr="00ED04CF" w14:paraId="26FCB474" w14:textId="77777777" w:rsidTr="00F057FA">
        <w:tc>
          <w:tcPr>
            <w:tcW w:w="9778" w:type="dxa"/>
          </w:tcPr>
          <w:p w14:paraId="20D859E0" w14:textId="77777777" w:rsidR="00ED161E" w:rsidRPr="005430AF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promozione_agrico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ltur</w:t>
            </w: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a_</w:t>
            </w:r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opt;block</w:t>
            </w:r>
            <w:proofErr w:type="spell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47A383F5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0ACFC4D8" w14:textId="77777777" w:rsidTr="00F057FA">
        <w:tc>
          <w:tcPr>
            <w:tcW w:w="9778" w:type="dxa"/>
          </w:tcPr>
          <w:p w14:paraId="670A2239" w14:textId="77777777" w:rsidR="00ED161E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91FB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(D.P.R. n. 380/2001, art. 6 comma 1, lett. b-ter) (lettera aggiunta dall'art. 1, comma 1, del decreto-legge n. 69 del 2024. </w:t>
            </w:r>
            <w:r w:rsidRPr="00291FB1">
              <w:rPr>
                <w:rFonts w:ascii="Arial" w:hAnsi="Arial" w:cs="Arial"/>
                <w:sz w:val="18"/>
                <w:szCs w:val="18"/>
                <w:lang w:val="it-IT"/>
              </w:rPr>
              <w:t>Tende da sole e di protezione dagli agenti atmosferici</w:t>
            </w:r>
          </w:p>
        </w:tc>
      </w:tr>
      <w:tr w:rsidR="00ED161E" w14:paraId="482D439C" w14:textId="77777777" w:rsidTr="00F057FA">
        <w:tc>
          <w:tcPr>
            <w:tcW w:w="9778" w:type="dxa"/>
          </w:tcPr>
          <w:p w14:paraId="5FBF47AB" w14:textId="77777777" w:rsidR="00ED161E" w:rsidRPr="0052068C" w:rsidRDefault="00ED161E" w:rsidP="00F057FA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tende_da_sole_opt.val;block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ED161E" w:rsidRPr="00ED04CF" w14:paraId="6DDFDDFD" w14:textId="77777777" w:rsidTr="00F057FA">
        <w:tc>
          <w:tcPr>
            <w:tcW w:w="9778" w:type="dxa"/>
          </w:tcPr>
          <w:p w14:paraId="0B87A55F" w14:textId="77777777" w:rsidR="00ED161E" w:rsidRPr="00CC3620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tende_da_sole_opt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block</w:t>
            </w:r>
            <w:proofErr w:type="spellEnd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tbs:row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nodata</w:t>
            </w:r>
            <w:proofErr w:type="spellEnd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CC36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405420C1" w14:textId="77777777" w:rsidR="00ED161E" w:rsidRPr="00CC3620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0C3854DB" w14:textId="77777777" w:rsidTr="00F057FA">
        <w:tc>
          <w:tcPr>
            <w:tcW w:w="9778" w:type="dxa"/>
          </w:tcPr>
          <w:p w14:paraId="7679710A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_key;block=tbs:row][onshow;block=begin;when [</w:t>
            </w:r>
            <w:proofErr w:type="spellStart"/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impianti_industriali_opt_key.val</w:t>
            </w:r>
            <w:proofErr w:type="spellEnd"/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]=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2BF2802C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112BF56C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5E72F71D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7B7F0D4A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42DD674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7D8902AB" w14:textId="77777777" w:rsidR="00ED161E" w:rsidRPr="00F73516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non siano in contrasto con specifiche norme di regolamento edilizio o di attuazione dei piani regolatori in materia;[</w:t>
            </w:r>
            <w:proofErr w:type="spellStart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=end]</w:t>
            </w:r>
          </w:p>
        </w:tc>
      </w:tr>
    </w:tbl>
    <w:p w14:paraId="681C1D6A" w14:textId="77777777" w:rsidR="00ED161E" w:rsidRPr="00872266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ED04CF" w14:paraId="5C0ACC33" w14:textId="77777777" w:rsidTr="00F057FA">
        <w:tc>
          <w:tcPr>
            <w:tcW w:w="9778" w:type="dxa"/>
          </w:tcPr>
          <w:p w14:paraId="19A14CC4" w14:textId="77777777" w:rsidR="00ED161E" w:rsidRPr="004D3ABA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infrastrutture_viarie_opt.val;block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2548A7EE" w14:textId="77777777" w:rsidR="00ED161E" w:rsidRDefault="00ED161E" w:rsidP="00ED161E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E138564" w14:textId="77777777" w:rsidR="00AB7E05" w:rsidRPr="00FD6858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DF14476" w14:textId="7777777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D.Lgs</w:t>
      </w:r>
      <w:proofErr w:type="spellEnd"/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42/04 e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s.m.i.</w:t>
      </w:r>
      <w:proofErr w:type="spellEnd"/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dichiarazione_tutela_storico_key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 e pertanto allega alla presente l'autorizzazione rilasciata dalla Soprintendenza per Beni Architettonici e per il Paesaggio della Liguria rilasciata ai sensi dell'art. 21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42/04;</w:t>
            </w:r>
          </w:p>
        </w:tc>
      </w:tr>
      <w:tr w:rsidR="00A24F0F" w:rsidRPr="00ED04CF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storico_key</w:t>
            </w:r>
            <w:proofErr w:type="spellEnd"/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6D3A29" w14:paraId="516B85B4" w14:textId="77777777" w:rsidTr="006C4D23">
        <w:tc>
          <w:tcPr>
            <w:tcW w:w="9778" w:type="dxa"/>
          </w:tcPr>
          <w:p w14:paraId="1BA2D900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Pr="00A24F0F">
              <w:rPr>
                <w:b/>
                <w:lang w:val="it-IT"/>
              </w:rPr>
              <w:t>:</w:t>
            </w:r>
          </w:p>
        </w:tc>
      </w:tr>
      <w:tr w:rsidR="001E6EEB" w:rsidRPr="00ED04CF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le opere non comportano alterazioni dei luoghi o dell'aspetto esteriore degli edifici e pertanto non sono soggette ad autorizzazione ai sensi dell'art. 149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42/2004;</w:t>
            </w:r>
          </w:p>
        </w:tc>
      </w:tr>
      <w:tr w:rsidR="001E6EEB" w:rsidRPr="00ED04CF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ED04CF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non 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334E8774" w14:textId="43B8C7A0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ED04CF" w14:paraId="1A22F8A2" w14:textId="77777777" w:rsidTr="001C60B5">
        <w:tc>
          <w:tcPr>
            <w:tcW w:w="9778" w:type="dxa"/>
          </w:tcPr>
          <w:p w14:paraId="59CFF626" w14:textId="7C7C62B3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E77E8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C9C3A85" w:rsidR="008D36B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107DEA45" w14:textId="4991068C" w:rsidR="00051067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BB50C83" w14:textId="77777777" w:rsidR="00051067" w:rsidRPr="002E3664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24B012" w14:textId="77777777" w:rsidR="00E77E8D" w:rsidRDefault="00E77E8D" w:rsidP="00E77E8D">
      <w:pPr>
        <w:rPr>
          <w:rFonts w:ascii="Arial" w:hAnsi="Arial" w:cs="Arial"/>
          <w:sz w:val="18"/>
          <w:szCs w:val="18"/>
          <w:lang w:val="it-IT" w:eastAsia="en-US"/>
        </w:rPr>
      </w:pPr>
    </w:p>
    <w:p w14:paraId="5F834F6B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/>
        </w:rPr>
      </w:pPr>
      <w:r w:rsidRPr="00E77E8D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4B8AB481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233BA3A3" w14:textId="77777777" w:rsidR="00E77E8D" w:rsidRPr="00E77E8D" w:rsidRDefault="00E77E8D" w:rsidP="00E77E8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77E8D" w14:paraId="53AC3EBB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D5F1B7E" w14:textId="44456A7C" w:rsidR="00E77E8D" w:rsidRPr="00E77E8D" w:rsidRDefault="00E77E8D" w:rsidP="00E77E8D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4AE86F1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467BA10B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FDE0681" w14:textId="77777777" w:rsid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77E8D" w:rsidRPr="00ED04CF" w14:paraId="3E87E60E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1EF6ACC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8E0C5F0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52165A02" w14:textId="77777777" w:rsidR="00E77E8D" w:rsidRP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delegato_cognome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</w:tr>
    </w:tbl>
    <w:p w14:paraId="7E916D11" w14:textId="77777777" w:rsidR="00E77E8D" w:rsidRPr="00E77E8D" w:rsidRDefault="00E77E8D" w:rsidP="00E77E8D">
      <w:pPr>
        <w:rPr>
          <w:rFonts w:ascii="Arial" w:hAnsi="Arial" w:cs="Arial"/>
          <w:lang w:val="it-IT" w:eastAsia="en-US"/>
        </w:rPr>
      </w:pPr>
    </w:p>
    <w:p w14:paraId="2C12180B" w14:textId="77777777" w:rsidR="00E77E8D" w:rsidRPr="00E77E8D" w:rsidRDefault="00E77E8D" w:rsidP="00E77E8D">
      <w:pPr>
        <w:rPr>
          <w:rFonts w:ascii="Arial" w:hAnsi="Arial" w:cs="Arial"/>
          <w:lang w:val="it-IT"/>
        </w:rPr>
      </w:pPr>
    </w:p>
    <w:p w14:paraId="4D312301" w14:textId="77777777" w:rsidR="00E77E8D" w:rsidRPr="00E77E8D" w:rsidRDefault="00E77E8D" w:rsidP="00E77E8D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La informiamo che i dati personali e sensibili da lei forniti e quelli che eventualmente fornirà anche successivamente formeranno oggetto di trattamento nel </w:t>
      </w:r>
      <w:r w:rsidRPr="00720230">
        <w:rPr>
          <w:rFonts w:ascii="Arial" w:hAnsi="Arial" w:cs="Arial"/>
          <w:sz w:val="14"/>
          <w:szCs w:val="14"/>
          <w:lang w:val="it-IT" w:eastAsia="it-IT"/>
        </w:rPr>
        <w:lastRenderedPageBreak/>
        <w:t>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44F72"/>
    <w:multiLevelType w:val="hybridMultilevel"/>
    <w:tmpl w:val="2FCC02B6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F1313"/>
    <w:multiLevelType w:val="hybridMultilevel"/>
    <w:tmpl w:val="2770762C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A1FE7"/>
    <w:multiLevelType w:val="hybridMultilevel"/>
    <w:tmpl w:val="E2C409AA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8675">
    <w:abstractNumId w:val="0"/>
  </w:num>
  <w:num w:numId="2" w16cid:durableId="1199780402">
    <w:abstractNumId w:val="1"/>
  </w:num>
  <w:num w:numId="3" w16cid:durableId="1566795702">
    <w:abstractNumId w:val="2"/>
  </w:num>
  <w:num w:numId="4" w16cid:durableId="183834749">
    <w:abstractNumId w:val="12"/>
  </w:num>
  <w:num w:numId="5" w16cid:durableId="301427999">
    <w:abstractNumId w:val="13"/>
  </w:num>
  <w:num w:numId="6" w16cid:durableId="228157925">
    <w:abstractNumId w:val="7"/>
  </w:num>
  <w:num w:numId="7" w16cid:durableId="33384165">
    <w:abstractNumId w:val="10"/>
  </w:num>
  <w:num w:numId="8" w16cid:durableId="1756635337">
    <w:abstractNumId w:val="9"/>
  </w:num>
  <w:num w:numId="9" w16cid:durableId="1550995011">
    <w:abstractNumId w:val="6"/>
  </w:num>
  <w:num w:numId="10" w16cid:durableId="1468663364">
    <w:abstractNumId w:val="3"/>
  </w:num>
  <w:num w:numId="11" w16cid:durableId="1931116162">
    <w:abstractNumId w:val="16"/>
  </w:num>
  <w:num w:numId="12" w16cid:durableId="1246918879">
    <w:abstractNumId w:val="15"/>
  </w:num>
  <w:num w:numId="13" w16cid:durableId="1050688360">
    <w:abstractNumId w:val="8"/>
  </w:num>
  <w:num w:numId="14" w16cid:durableId="530529420">
    <w:abstractNumId w:val="11"/>
  </w:num>
  <w:num w:numId="15" w16cid:durableId="1950625875">
    <w:abstractNumId w:val="4"/>
  </w:num>
  <w:num w:numId="16" w16cid:durableId="2031910018">
    <w:abstractNumId w:val="14"/>
  </w:num>
  <w:num w:numId="17" w16cid:durableId="2084183258">
    <w:abstractNumId w:val="17"/>
  </w:num>
  <w:num w:numId="18" w16cid:durableId="103986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1067"/>
    <w:rsid w:val="00055565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7BA6"/>
    <w:rsid w:val="00206D65"/>
    <w:rsid w:val="00223C96"/>
    <w:rsid w:val="002366A0"/>
    <w:rsid w:val="00252341"/>
    <w:rsid w:val="00253B34"/>
    <w:rsid w:val="00262E5D"/>
    <w:rsid w:val="00275DDC"/>
    <w:rsid w:val="002C088C"/>
    <w:rsid w:val="002C0E03"/>
    <w:rsid w:val="002C11AA"/>
    <w:rsid w:val="002E0607"/>
    <w:rsid w:val="002E3664"/>
    <w:rsid w:val="00313DCD"/>
    <w:rsid w:val="00321F46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9E7"/>
    <w:rsid w:val="00426997"/>
    <w:rsid w:val="00455BD5"/>
    <w:rsid w:val="004704FA"/>
    <w:rsid w:val="004A1B75"/>
    <w:rsid w:val="004C1FC8"/>
    <w:rsid w:val="004D3ABA"/>
    <w:rsid w:val="00525985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61737"/>
    <w:rsid w:val="00872266"/>
    <w:rsid w:val="008827CD"/>
    <w:rsid w:val="00887B31"/>
    <w:rsid w:val="00895BB0"/>
    <w:rsid w:val="008B3A95"/>
    <w:rsid w:val="008D36B4"/>
    <w:rsid w:val="008E0CC0"/>
    <w:rsid w:val="009152D9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83745"/>
    <w:rsid w:val="00AA772A"/>
    <w:rsid w:val="00AB4E65"/>
    <w:rsid w:val="00AB7E05"/>
    <w:rsid w:val="00AD1C59"/>
    <w:rsid w:val="00AD5B88"/>
    <w:rsid w:val="00B0365E"/>
    <w:rsid w:val="00B21107"/>
    <w:rsid w:val="00B26B21"/>
    <w:rsid w:val="00B61F96"/>
    <w:rsid w:val="00B75247"/>
    <w:rsid w:val="00B90948"/>
    <w:rsid w:val="00BA63F4"/>
    <w:rsid w:val="00BD70ED"/>
    <w:rsid w:val="00BD7A9E"/>
    <w:rsid w:val="00C16F32"/>
    <w:rsid w:val="00C2145C"/>
    <w:rsid w:val="00C37BCB"/>
    <w:rsid w:val="00C4275A"/>
    <w:rsid w:val="00C513F3"/>
    <w:rsid w:val="00C714E5"/>
    <w:rsid w:val="00CA05A3"/>
    <w:rsid w:val="00CA1165"/>
    <w:rsid w:val="00CA125B"/>
    <w:rsid w:val="00CA570D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22A"/>
    <w:rsid w:val="00E778B3"/>
    <w:rsid w:val="00E77E8D"/>
    <w:rsid w:val="00E8154A"/>
    <w:rsid w:val="00EA37C3"/>
    <w:rsid w:val="00EB2A36"/>
    <w:rsid w:val="00EB4E39"/>
    <w:rsid w:val="00ED04CF"/>
    <w:rsid w:val="00ED10D2"/>
    <w:rsid w:val="00ED161E"/>
    <w:rsid w:val="00ED197C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102</cp:revision>
  <cp:lastPrinted>1899-12-31T23:00:00Z</cp:lastPrinted>
  <dcterms:created xsi:type="dcterms:W3CDTF">2017-09-21T07:31:00Z</dcterms:created>
  <dcterms:modified xsi:type="dcterms:W3CDTF">2024-08-01T07:14:00Z</dcterms:modified>
</cp:coreProperties>
</file>